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9.png" ContentType="image/png"/>
  <Override PartName="/word/media/rId81.png" ContentType="image/png"/>
  <Override PartName="/word/media/rId84.png" ContentType="image/png"/>
  <Override PartName="/word/media/rId87.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fmaguire/mag_sim_paper@72dab21</w:t>
        </w:r>
      </w:hyperlink>
      <w:r>
        <w:t xml:space="preserve"> </w:t>
      </w:r>
      <w:r>
        <w:t xml:space="preserve">on May 22,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MAGs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 and needs to be evaluated.</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or AMR genes were recovered, and only 0-45% of AMR or VF genes within GIs.</w:t>
      </w:r>
      <w:r>
        <w:t xml:space="preserve"> </w:t>
      </w:r>
      <w:r>
        <w:t xml:space="preserve">We conclude that short-read MAGs are largely ineffective for the analysis of mobile genes, including those of public-health importance like AMR and VF genes.</w:t>
      </w:r>
      <w:r>
        <w:t xml:space="preserve"> </w:t>
      </w:r>
      <w:r>
        <w:t xml:space="preserve">We propose that microbiome researchers should utilise unassembled short reads and/or long-read approaches to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incorporate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github.com/fmaguire/MAG_gi_plasmid_analysis</w:t>
        </w:r>
      </w:hyperlink>
      <w:r>
        <w:t xml:space="preserve"> </w:t>
      </w:r>
      <w:r>
        <w:t xml:space="preserve">and data repository</w:t>
      </w:r>
      <w:r>
        <w:t xml:space="preserve"> </w:t>
      </w:r>
      <w:hyperlink r:id="rId43">
        <w:r>
          <w:rPr>
            <w:rStyle w:val="Hyperlink"/>
          </w:rPr>
          <w:t xml:space="preserve">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w:t>
      </w:r>
      <w:r>
        <w:t xml:space="preserve"> </w:t>
      </w:r>
      <w:r>
        <w:t xml:space="preserve">[</w:t>
      </w:r>
      <w:hyperlink w:anchor="ref-19dz2SKIf">
        <w:r>
          <w:rPr>
            <w:rStyle w:val="Hyperlink"/>
          </w:rPr>
          <w:t xml:space="preserve">7</w:t>
        </w:r>
      </w:hyperlink>
      <w:r>
        <w:t xml:space="preserve">]</w:t>
      </w:r>
      <w:r>
        <w:t xml:space="preserve">, PacBio</w:t>
      </w:r>
      <w:r>
        <w:t xml:space="preserve"> </w:t>
      </w:r>
      <w:r>
        <w:t xml:space="preserve">[</w:t>
      </w:r>
      <w:hyperlink w:anchor="ref-QbXTukk0">
        <w:r>
          <w:rPr>
            <w:rStyle w:val="Hyperlink"/>
          </w:rPr>
          <w:t xml:space="preserve">8</w:t>
        </w:r>
      </w:hyperlink>
      <w:r>
        <w:t xml:space="preserve">]</w:t>
      </w:r>
      <w:r>
        <w:t xml:space="preserve">)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33</w:t>
        </w:r>
      </w:hyperlink>
      <w:r>
        <w:t xml:space="preserve">,</w:t>
      </w:r>
      <w:r>
        <w:t xml:space="preserve"> </w:t>
      </w:r>
      <w:hyperlink w:anchor="ref-1Af4oXwEX">
        <w:r>
          <w:rPr>
            <w:rStyle w:val="Hyperlink"/>
          </w:rPr>
          <w:t xml:space="preserve">34</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35</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36</w:t>
        </w:r>
      </w:hyperlink>
      <w:r>
        <w:t xml:space="preserve">,</w:t>
      </w:r>
      <w:r>
        <w:t xml:space="preserve"> </w:t>
      </w:r>
      <w:hyperlink w:anchor="ref-17U91060Y">
        <w:r>
          <w:rPr>
            <w:rStyle w:val="Hyperlink"/>
          </w:rPr>
          <w:t xml:space="preserve">37</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33</w:t>
        </w:r>
      </w:hyperlink>
      <w:r>
        <w:t xml:space="preserve">]</w:t>
      </w:r>
      <w:r>
        <w:t xml:space="preserve">, a trait exploited by GI prediction tools such as SIGI-HMM</w:t>
      </w:r>
      <w:r>
        <w:t xml:space="preserve"> </w:t>
      </w:r>
      <w:r>
        <w:t xml:space="preserve">[</w:t>
      </w:r>
      <w:hyperlink w:anchor="ref-AVvpww8F">
        <w:r>
          <w:rPr>
            <w:rStyle w:val="Hyperlink"/>
          </w:rPr>
          <w:t xml:space="preserve">38</w:t>
        </w:r>
      </w:hyperlink>
      <w:r>
        <w:t xml:space="preserve">]</w:t>
      </w:r>
      <w:r>
        <w:t xml:space="preserve">, IslandPath-DIMOB</w:t>
      </w:r>
      <w:r>
        <w:t xml:space="preserve"> </w:t>
      </w:r>
      <w:r>
        <w:t xml:space="preserve">[</w:t>
      </w:r>
      <w:hyperlink w:anchor="ref-M1pdcdMy">
        <w:r>
          <w:rPr>
            <w:rStyle w:val="Hyperlink"/>
          </w:rPr>
          <w:t xml:space="preserve">39</w:t>
        </w:r>
      </w:hyperlink>
      <w:r>
        <w:t xml:space="preserve">]</w:t>
      </w:r>
      <w:r>
        <w:t xml:space="preserve">, and integrative tools like IslandViewer</w:t>
      </w:r>
      <w:r>
        <w:t xml:space="preserve"> </w:t>
      </w:r>
      <w:r>
        <w:t xml:space="preserve">[</w:t>
      </w:r>
      <w:hyperlink w:anchor="ref-4eEyIkDg">
        <w:r>
          <w:rPr>
            <w:rStyle w:val="Hyperlink"/>
          </w:rPr>
          <w:t xml:space="preserve">40</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41</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42</w:t>
        </w:r>
      </w:hyperlink>
      <w:r>
        <w:t xml:space="preserve">,</w:t>
      </w:r>
      <w:r>
        <w:t xml:space="preserve"> </w:t>
      </w:r>
      <w:hyperlink w:anchor="ref-Z1irb7eF">
        <w:r>
          <w:rPr>
            <w:rStyle w:val="Hyperlink"/>
          </w:rPr>
          <w:t xml:space="preserve">43</w:t>
        </w:r>
      </w:hyperlink>
      <w:r>
        <w:t xml:space="preserve">]</w:t>
      </w:r>
      <w:r>
        <w:t xml:space="preserve">.</w:t>
      </w:r>
      <w:r>
        <w:t xml:space="preserve"> </w:t>
      </w:r>
      <w:r>
        <w:t xml:space="preserve">Similar to GIs, the sequence composition of plasmids are often markedly different from the genome with which they are associated</w:t>
      </w:r>
      <w:r>
        <w:t xml:space="preserve"> </w:t>
      </w:r>
      <w:r>
        <w:t xml:space="preserve">[</w:t>
      </w:r>
      <w:hyperlink w:anchor="ref-QK9dmRUA">
        <w:r>
          <w:rPr>
            <w:rStyle w:val="Hyperlink"/>
          </w:rPr>
          <w:t xml:space="preserve">44</w:t>
        </w:r>
      </w:hyperlink>
      <w:r>
        <w:t xml:space="preserve">,</w:t>
      </w:r>
      <w:r>
        <w:t xml:space="preserve"> </w:t>
      </w:r>
      <w:hyperlink w:anchor="ref-ps1aOiRU">
        <w:r>
          <w:rPr>
            <w:rStyle w:val="Hyperlink"/>
          </w:rPr>
          <w:t xml:space="preserve">45</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36</w:t>
        </w:r>
      </w:hyperlink>
      <w:r>
        <w:t xml:space="preserve">,</w:t>
      </w:r>
      <w:r>
        <w:t xml:space="preserve"> </w:t>
      </w:r>
      <w:hyperlink w:anchor="ref-X9j9vETu">
        <w:r>
          <w:rPr>
            <w:rStyle w:val="Hyperlink"/>
          </w:rPr>
          <w:t xml:space="preserve">46</w:t>
        </w:r>
      </w:hyperlink>
      <w:r>
        <w:t xml:space="preserve">]</w:t>
      </w:r>
      <w:r>
        <w:t xml:space="preserve">.</w:t>
      </w:r>
    </w:p>
    <w:p>
      <w:pPr>
        <w:pStyle w:val="BodyText"/>
      </w:pPr>
      <w:r>
        <w:t xml:space="preserve">These varying composition and relative abundance features mean that GIs and plasmids pose significant challenges in MAG recovery.</w:t>
      </w:r>
      <w:r>
        <w:t xml:space="preserve"> </w:t>
      </w: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39</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40</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47</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48</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49</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50</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51</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52</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53</w:t>
        </w:r>
      </w:hyperlink>
      <w:r>
        <w:t xml:space="preserve">]</w:t>
      </w:r>
      <w:r>
        <w:t xml:space="preserve"> </w:t>
      </w:r>
      <w:r>
        <w:t xml:space="preserve">and masked with trimal v1.4.1-3</w:t>
      </w:r>
      <w:r>
        <w:t xml:space="preserve"> </w:t>
      </w:r>
      <w:r>
        <w:t xml:space="preserve">[</w:t>
      </w:r>
      <w:hyperlink w:anchor="ref-GCsU1nyf">
        <w:r>
          <w:rPr>
            <w:rStyle w:val="Hyperlink"/>
          </w:rPr>
          <w:t xml:space="preserve">54</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55</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56</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57</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58</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59</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60</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51</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61</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4"/>
      </w:pPr>
      <w:bookmarkStart w:id="55" w:name="X23108a40b55d76bb76087e4a24d40acf0cbcfeb"/>
      <w:r>
        <w:t xml:space="preserve">Protein subcellular localisation predictions</w:t>
      </w:r>
      <w:bookmarkEnd w:id="55"/>
    </w:p>
    <w:p>
      <w:pPr>
        <w:pStyle w:val="FirstParagraph"/>
      </w:pPr>
      <w:r>
        <w:t xml:space="preserve">We then sought to assess what the impact of a protein’s predicted subcellular localisation was on its recovery and binning in MAGs.</w:t>
      </w:r>
      <w:r>
        <w:t xml:space="preserve"> </w:t>
      </w:r>
      <w:r>
        <w:t xml:space="preserve">The MAG bins from megahit-DAS Tool assembler-binner combination were selected (as generally best performing) and ORFs predicted using prodigal</w:t>
      </w:r>
      <w:r>
        <w:t xml:space="preserve"> </w:t>
      </w:r>
      <w:r>
        <w:t xml:space="preserve">[</w:t>
      </w:r>
      <w:hyperlink w:anchor="ref-lX665mdh">
        <w:r>
          <w:rPr>
            <w:rStyle w:val="Hyperlink"/>
          </w:rPr>
          <w:t xml:space="preserve">59</w:t>
        </w:r>
      </w:hyperlink>
      <w:r>
        <w:t xml:space="preserve">]</w:t>
      </w:r>
      <w:r>
        <w:t xml:space="preserve"> </w:t>
      </w:r>
      <w:r>
        <w:t xml:space="preserve">as above.</w:t>
      </w:r>
      <w:r>
        <w:t xml:space="preserve"> </w:t>
      </w:r>
      <w:r>
        <w:t xml:space="preserve">Subcellular localisations of these proteins were then predicted using PSORTb v3.0 with default parameters and the appropriate Gram stain setting for that bin’s assigned taxa</w:t>
      </w:r>
      <w:r>
        <w:t xml:space="preserve"> </w:t>
      </w:r>
      <w:r>
        <w:t xml:space="preserve">[</w:t>
      </w:r>
      <w:hyperlink w:anchor="ref-19bHWbO47">
        <w:r>
          <w:rPr>
            <w:rStyle w:val="Hyperlink"/>
          </w:rPr>
          <w:t xml:space="preserve">62</w:t>
        </w:r>
      </w:hyperlink>
      <w:r>
        <w:t xml:space="preserve">]</w:t>
      </w:r>
      <w:r>
        <w:t xml:space="preserve">.</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p>
    <w:p>
      <w:pPr>
        <w:pStyle w:val="Heading2"/>
      </w:pPr>
      <w:bookmarkStart w:id="76" w:name="discussion"/>
      <w:r>
        <w:t xml:space="preserve">Discussion</w:t>
      </w:r>
      <w:bookmarkEnd w:id="76"/>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S1</w:t>
        </w:r>
      </w:hyperlink>
      <w:r>
        <w:t xml:space="preserve">,</w:t>
      </w:r>
      <w:r>
        <w:t xml:space="preserve"> </w:t>
      </w:r>
      <w:hyperlink w:anchor="fig:purityphylo">
        <w:r>
          <w:rPr>
            <w:rStyle w:val="Hyperlink"/>
          </w:rPr>
          <w:t xml:space="preserve">S2</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63</w:t>
        </w:r>
      </w:hyperlink>
      <w:r>
        <w:t xml:space="preserve">]</w:t>
      </w:r>
      <w:r>
        <w:t xml:space="preserve">.</w:t>
      </w:r>
      <w:r>
        <w:t xml:space="preserve"> </w:t>
      </w:r>
      <w:r>
        <w:t xml:space="preserve">Therefore, binning efficiency might improve with use of long-read sequencing or assembly methods optimised for recovering plasmids</w:t>
      </w:r>
      <w:r>
        <w:t xml:space="preserve"> </w:t>
      </w:r>
      <w:r>
        <w:t xml:space="preserve">[</w:t>
      </w:r>
      <w:hyperlink w:anchor="ref-12zFifp5x">
        <w:r>
          <w:rPr>
            <w:rStyle w:val="Hyperlink"/>
          </w:rPr>
          <w:t xml:space="preserve">63</w:t>
        </w:r>
      </w:hyperlink>
      <w:r>
        <w:t xml:space="preserve">]</w:t>
      </w:r>
      <w:r>
        <w:t xml:space="preserve"> </w:t>
      </w:r>
      <w:r>
        <w:t xml:space="preserve">(such as SCAPP</w:t>
      </w:r>
      <w:r>
        <w:t xml:space="preserve"> </w:t>
      </w:r>
      <w:r>
        <w:t xml:space="preserve">[</w:t>
      </w:r>
      <w:hyperlink w:anchor="ref-5bpLJeyh">
        <w:r>
          <w:rPr>
            <w:rStyle w:val="Hyperlink"/>
          </w:rPr>
          <w:t xml:space="preserve">64</w:t>
        </w:r>
      </w:hyperlink>
      <w:r>
        <w:t xml:space="preserve">]</w:t>
      </w:r>
      <w:r>
        <w:t xml:space="preserve">).</w:t>
      </w:r>
      <w:r>
        <w:t xml:space="preserve"> </w:t>
      </w:r>
      <w:r>
        <w:t xml:space="preserve">Despite its lower effective sequencing depth and higher error rates, incorporating long-read sequencing has been shown to improve overall MAG binning</w:t>
      </w:r>
      <w:r>
        <w:t xml:space="preserve"> </w:t>
      </w:r>
      <w:r>
        <w:t xml:space="preserve">[</w:t>
      </w:r>
      <w:hyperlink w:anchor="ref-GW6Ed5Sw">
        <w:r>
          <w:rPr>
            <w:rStyle w:val="Hyperlink"/>
          </w:rPr>
          <w:t xml:space="preserve">65</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66</w:t>
        </w:r>
      </w:hyperlink>
      <w:r>
        <w:t xml:space="preserve">]</w:t>
      </w:r>
      <w:r>
        <w:t xml:space="preserve">.</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67</w:t>
        </w:r>
      </w:hyperlink>
      <w:r>
        <w:t xml:space="preserve">–</w:t>
      </w:r>
      <w:hyperlink w:anchor="ref-WJT5of5h">
        <w:r>
          <w:rPr>
            <w:rStyle w:val="Hyperlink"/>
          </w:rPr>
          <w:t xml:space="preserve">71</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the KPC and OXA carbapenemases.</w:t>
      </w:r>
      <w:r>
        <w:t xml:space="preserve"> </w:t>
      </w:r>
      <w:r>
        <w:t xml:space="preserve">One potential caveat of this is that some AMR genes and VFs may no longer be detectable in MAGs due to issues with ORF prediction (see suppl. discussion &amp; Fig.</w:t>
      </w:r>
      <w:r>
        <w:t xml:space="preserve"> </w:t>
      </w:r>
      <w:hyperlink w:anchor="fig:geneContent">
        <w:r>
          <w:rPr>
            <w:rStyle w:val="Hyperlink"/>
          </w:rPr>
          <w:t xml:space="preserve">S3</w:t>
        </w:r>
      </w:hyperlink>
      <w:r>
        <w:t xml:space="preserve">).</w:t>
      </w:r>
      <w:r>
        <w:t xml:space="preserve"> </w:t>
      </w:r>
      <w:r>
        <w:t xml:space="preserve">Previous studies have observed that ORF predictions in draft genomes are more fragmented, which can lead to downstream over- or under-annotation with functional labels depending on the approach used</w:t>
      </w:r>
      <w:r>
        <w:t xml:space="preserve"> </w:t>
      </w:r>
      <w:r>
        <w:t xml:space="preserve">[</w:t>
      </w:r>
      <w:hyperlink w:anchor="ref-1EZyZrHhJ">
        <w:r>
          <w:rPr>
            <w:rStyle w:val="Hyperlink"/>
          </w:rPr>
          <w:t xml:space="preserve">72</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73</w:t>
        </w:r>
      </w:hyperlink>
      <w:r>
        <w:t xml:space="preserve">–</w:t>
      </w:r>
      <w:hyperlink w:anchor="ref-mUmGRb3J">
        <w:r>
          <w:rPr>
            <w:rStyle w:val="Hyperlink"/>
          </w:rPr>
          <w:t xml:space="preserve">75</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76</w:t>
        </w:r>
      </w:hyperlink>
      <w:r>
        <w:t xml:space="preserve">–</w:t>
      </w:r>
      <w:hyperlink w:anchor="ref-69R3Dd1j">
        <w:r>
          <w:rPr>
            <w:rStyle w:val="Hyperlink"/>
          </w:rPr>
          <w:t xml:space="preserve">79</w:t>
        </w:r>
      </w:hyperlink>
      <w:r>
        <w:t xml:space="preserve">]</w:t>
      </w:r>
      <w:r>
        <w:t xml:space="preserv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80</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81</w:t>
        </w:r>
      </w:hyperlink>
      <w:r>
        <w:t xml:space="preserve">]</w:t>
      </w:r>
      <w:r>
        <w:t xml:space="preserve">), could provide a key resource to develop and validate new binning approaches and different sequencing strategies.</w:t>
      </w:r>
    </w:p>
    <w:p>
      <w:pPr>
        <w:pStyle w:val="BodyText"/>
      </w:pPr>
      <w:r>
        <w:t xml:space="preserve">This study has shown that MAG-based approaches provide a useful tool to study a bacterial species’ core chromosomal elements, but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35</w:t>
        </w:r>
      </w:hyperlink>
      <w:r>
        <w:t xml:space="preserve">,</w:t>
      </w:r>
      <w:r>
        <w:t xml:space="preserve"> </w:t>
      </w:r>
      <w:hyperlink w:anchor="ref-x7HhCKyS">
        <w:r>
          <w:rPr>
            <w:rStyle w:val="Hyperlink"/>
          </w:rPr>
          <w:t xml:space="preserve">36</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82</w:t>
        </w:r>
      </w:hyperlink>
      <w:r>
        <w:t xml:space="preserve">]</w:t>
      </w:r>
      <w:r>
        <w:t xml:space="preserve">, long-read sequencing, plasmid specialised assembly approaches</w:t>
      </w:r>
      <w:r>
        <w:t xml:space="preserve"> </w:t>
      </w:r>
      <w:r>
        <w:t xml:space="preserve">[</w:t>
      </w:r>
      <w:hyperlink w:anchor="ref-5bpLJeyh">
        <w:r>
          <w:rPr>
            <w:rStyle w:val="Hyperlink"/>
          </w:rPr>
          <w:t xml:space="preserve">64</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7" w:name="supplementals"/>
      <w:r>
        <w:t xml:space="preserve">Supplementary Information</w:t>
      </w:r>
      <w:bookmarkEnd w:id="77"/>
    </w:p>
    <w:p>
      <w:pPr>
        <w:pStyle w:val="Heading3"/>
      </w:pPr>
      <w:bookmarkStart w:id="78" w:name="impact-of-related-genomes-on-mag"/>
      <w:r>
        <w:t xml:space="preserve">Impact of Related Genomes on MAG</w:t>
      </w:r>
      <w:bookmarkEnd w:id="78"/>
    </w:p>
    <w:p>
      <w:pPr>
        <w:pStyle w:val="FirstParagraph"/>
      </w:pPr>
      <w:r>
        <w:t xml:space="preserve">By generating a phylogeny of universal single copy genes in our input genomes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S1</w:t>
        </w:r>
      </w:hyperlink>
      <w:r>
        <w:t xml:space="preserve">) and bin purity (Fig.</w:t>
      </w:r>
      <w:r>
        <w:t xml:space="preserve"> </w:t>
      </w:r>
      <w:hyperlink w:anchor="fig:purityphylo">
        <w:r>
          <w:rPr>
            <w:rStyle w:val="Hyperlink"/>
          </w:rPr>
          <w:t xml:space="preserve">S2</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S1</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coverphylo,"/>
    <w:p>
      <w:pPr>
        <w:pStyle w:val="CaptionedFigure"/>
      </w:pPr>
      <w:bookmarkStart w:id="80" w:name="fig:coverphylo,"/>
      <w:r>
        <w:drawing>
          <wp:inline>
            <wp:extent cx="5943600" cy="7844157"/>
            <wp:effectExtent b="0" l="0" r="0" t="0"/>
            <wp:docPr descr="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 title="" id="1" name="Picture"/>
            <a:graphic>
              <a:graphicData uri="http://schemas.openxmlformats.org/drawingml/2006/picture">
                <pic:pic>
                  <pic:nvPicPr>
                    <pic:cNvPr descr="images/S1_best_coverage_phylo_dist.png" id="0" name="Picture"/>
                    <pic:cNvPicPr>
                      <a:picLocks noChangeArrowheads="1" noChangeAspect="1"/>
                    </pic:cNvPicPr>
                  </pic:nvPicPr>
                  <pic:blipFill>
                    <a:blip r:embed="rId79"/>
                    <a:stretch>
                      <a:fillRect/>
                    </a:stretch>
                  </pic:blipFill>
                  <pic:spPr bwMode="auto">
                    <a:xfrm>
                      <a:off x="0" y="0"/>
                      <a:ext cx="5943600" cy="7844157"/>
                    </a:xfrm>
                    <a:prstGeom prst="rect">
                      <a:avLst/>
                    </a:prstGeom>
                    <a:noFill/>
                    <a:ln w="9525">
                      <a:noFill/>
                      <a:headEnd/>
                      <a:tailEnd/>
                    </a:ln>
                  </pic:spPr>
                </pic:pic>
              </a:graphicData>
            </a:graphic>
          </wp:inline>
        </w:drawing>
      </w:r>
      <w:bookmarkEnd w:id="80"/>
    </w:p>
    <w:p>
      <w:pPr>
        <w:pStyle w:val="ImageCaption"/>
      </w:pPr>
      <w:r>
        <w:t xml:space="preserve">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2" w:name="fig:purityphylo,"/>
      <w:r>
        <w:drawing>
          <wp:inline>
            <wp:extent cx="5943600" cy="7866593"/>
            <wp:effectExtent b="0" l="0" r="0" t="0"/>
            <wp:docPr descr="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 title="" id="1" name="Picture"/>
            <a:graphic>
              <a:graphicData uri="http://schemas.openxmlformats.org/drawingml/2006/picture">
                <pic:pic>
                  <pic:nvPicPr>
                    <pic:cNvPr descr="images/S2_purity_phylo_dist.png" id="0" name="Picture"/>
                    <pic:cNvPicPr>
                      <a:picLocks noChangeArrowheads="1" noChangeAspect="1"/>
                    </pic:cNvPicPr>
                  </pic:nvPicPr>
                  <pic:blipFill>
                    <a:blip r:embed="rId81"/>
                    <a:stretch>
                      <a:fillRect/>
                    </a:stretch>
                  </pic:blipFill>
                  <pic:spPr bwMode="auto">
                    <a:xfrm>
                      <a:off x="0" y="0"/>
                      <a:ext cx="5943600" cy="7866593"/>
                    </a:xfrm>
                    <a:prstGeom prst="rect">
                      <a:avLst/>
                    </a:prstGeom>
                    <a:noFill/>
                    <a:ln w="9525">
                      <a:noFill/>
                      <a:headEnd/>
                      <a:tailEnd/>
                    </a:ln>
                  </pic:spPr>
                </pic:pic>
              </a:graphicData>
            </a:graphic>
          </wp:inline>
        </w:drawing>
      </w:r>
      <w:bookmarkEnd w:id="82"/>
    </w:p>
    <w:p>
      <w:pPr>
        <w:pStyle w:val="ImageCaption"/>
      </w:pPr>
      <w:r>
        <w:t xml:space="preserve">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3" w:name="recovery-of-specific-gene-content"/>
      <w:r>
        <w:t xml:space="preserve">Recovery of Specific Gene Content</w:t>
      </w:r>
      <w:bookmarkEnd w:id="83"/>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S3</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5" w:name="fig:geneContent,"/>
      <w:r>
        <w:drawing>
          <wp:inline>
            <wp:extent cx="5943600" cy="2641600"/>
            <wp:effectExtent b="0" l="0" r="0" t="0"/>
            <wp:docPr descr="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3_number_of_predicted_genes.png" id="0" name="Picture"/>
                    <pic:cNvPicPr>
                      <a:picLocks noChangeArrowheads="1" noChangeAspect="1"/>
                    </pic:cNvPicPr>
                  </pic:nvPicPr>
                  <pic:blipFill>
                    <a:blip r:embed="rId84"/>
                    <a:stretch>
                      <a:fillRect/>
                    </a:stretch>
                  </pic:blipFill>
                  <pic:spPr bwMode="auto">
                    <a:xfrm>
                      <a:off x="0" y="0"/>
                      <a:ext cx="5943600" cy="2641600"/>
                    </a:xfrm>
                    <a:prstGeom prst="rect">
                      <a:avLst/>
                    </a:prstGeom>
                    <a:noFill/>
                    <a:ln w="9525">
                      <a:noFill/>
                      <a:headEnd/>
                      <a:tailEnd/>
                    </a:ln>
                  </pic:spPr>
                </pic:pic>
              </a:graphicData>
            </a:graphic>
          </wp:inline>
        </w:drawing>
      </w:r>
      <w:bookmarkEnd w:id="85"/>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6" w:name="comparisons-of-rates-of-loss-1"/>
      <w:r>
        <w:t xml:space="preserve">Comparisons of Rates of Loss</w:t>
      </w:r>
      <w:bookmarkEnd w:id="86"/>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S4</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8" w:name="fig:rateofloss,"/>
      <w:r>
        <w:drawing>
          <wp:inline>
            <wp:extent cx="5943600" cy="4622800"/>
            <wp:effectExtent b="0" l="0" r="0" t="0"/>
            <wp:docPr descr="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4_rate_of_loss.png" id="0" name="Picture"/>
                    <pic:cNvPicPr>
                      <a:picLocks noChangeArrowheads="1" noChangeAspect="1"/>
                    </pic:cNvPicPr>
                  </pic:nvPicPr>
                  <pic:blipFill>
                    <a:blip r:embed="rId87"/>
                    <a:stretch>
                      <a:fillRect/>
                    </a:stretch>
                  </pic:blipFill>
                  <pic:spPr bwMode="auto">
                    <a:xfrm>
                      <a:off x="0" y="0"/>
                      <a:ext cx="5943600" cy="4622800"/>
                    </a:xfrm>
                    <a:prstGeom prst="rect">
                      <a:avLst/>
                    </a:prstGeom>
                    <a:noFill/>
                    <a:ln w="9525">
                      <a:noFill/>
                      <a:headEnd/>
                      <a:tailEnd/>
                    </a:ln>
                  </pic:spPr>
                </pic:pic>
              </a:graphicData>
            </a:graphic>
          </wp:inline>
        </w:drawing>
      </w:r>
      <w:bookmarkEnd w:id="88"/>
    </w:p>
    <w:p>
      <w:pPr>
        <w:pStyle w:val="ImageCaption"/>
      </w:pPr>
      <w:r>
        <w:t xml:space="preserve">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p>
      <w:pPr>
        <w:pStyle w:val="Heading2"/>
      </w:pPr>
      <w:bookmarkStart w:id="89" w:name="data-bibliography"/>
      <w:r>
        <w:t xml:space="preserve">Data Bibliography</w:t>
      </w:r>
      <w:bookmarkEnd w:id="89"/>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0" w:name="funding-information"/>
      <w:r>
        <w:t xml:space="preserve">Funding Information</w:t>
      </w:r>
      <w:bookmarkEnd w:id="90"/>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1" w:name="acknowledgements"/>
      <w:r>
        <w:t xml:space="preserve">Acknowledgements</w:t>
      </w:r>
      <w:bookmarkEnd w:id="91"/>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2" w:name="author-contributions"/>
      <w:r>
        <w:t xml:space="preserve">Author contributions</w:t>
      </w:r>
      <w:bookmarkEnd w:id="92"/>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3" w:name="conflict-of-interest"/>
      <w:r>
        <w:t xml:space="preserve">Conflict of Interest</w:t>
      </w:r>
      <w:bookmarkEnd w:id="93"/>
    </w:p>
    <w:p>
      <w:pPr>
        <w:pStyle w:val="FirstParagraph"/>
      </w:pPr>
      <w:r>
        <w:t xml:space="preserve">The authors declare no competing interests.</w:t>
      </w:r>
    </w:p>
    <w:p>
      <w:pPr>
        <w:pStyle w:val="Heading2"/>
      </w:pPr>
      <w:bookmarkStart w:id="94" w:name="references"/>
      <w:r>
        <w:t xml:space="preserve">References</w:t>
      </w:r>
      <w:bookmarkEnd w:id="94"/>
    </w:p>
    <w:bookmarkStart w:id="203" w:name="refs"/>
    <w:bookmarkStart w:id="95"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5"/>
    <w:bookmarkStart w:id="96"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96"/>
    <w:bookmarkStart w:id="97"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97"/>
    <w:bookmarkStart w:id="98"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98"/>
    <w:bookmarkStart w:id="99"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99"/>
    <w:bookmarkStart w:id="100"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0"/>
    <w:bookmarkStart w:id="101"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1"/>
    <w:bookmarkStart w:id="102"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2"/>
    <w:bookmarkStart w:id="104"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3">
        <w:r>
          <w:rPr>
            <w:rStyle w:val="Hyperlink"/>
          </w:rPr>
          <w:t xml:space="preserve">10.1093/gigascience/giz043</w:t>
        </w:r>
      </w:hyperlink>
      <w:r>
        <w:t xml:space="preserve">.</w:t>
      </w:r>
    </w:p>
    <w:bookmarkEnd w:id="104"/>
    <w:bookmarkStart w:id="106"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5">
        <w:r>
          <w:rPr>
            <w:rStyle w:val="Hyperlink"/>
          </w:rPr>
          <w:t xml:space="preserve">10.1186/s12866-019-1500-0</w:t>
        </w:r>
      </w:hyperlink>
      <w:r>
        <w:t xml:space="preserve">.</w:t>
      </w:r>
    </w:p>
    <w:bookmarkEnd w:id="106"/>
    <w:bookmarkStart w:id="107"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07"/>
    <w:bookmarkStart w:id="108"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08"/>
    <w:bookmarkStart w:id="109"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09"/>
    <w:bookmarkStart w:id="111"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0">
        <w:r>
          <w:rPr>
            <w:rStyle w:val="Hyperlink"/>
          </w:rPr>
          <w:t xml:space="preserve">10.1186/s12864-015-1419-2</w:t>
        </w:r>
      </w:hyperlink>
      <w:r>
        <w:t xml:space="preserve">.</w:t>
      </w:r>
    </w:p>
    <w:bookmarkEnd w:id="111"/>
    <w:bookmarkStart w:id="112"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2"/>
    <w:bookmarkStart w:id="113"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3"/>
    <w:bookmarkStart w:id="114"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4"/>
    <w:bookmarkStart w:id="115"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5"/>
    <w:bookmarkStart w:id="116"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16"/>
    <w:bookmarkStart w:id="117"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17"/>
    <w:bookmarkStart w:id="118"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18"/>
    <w:bookmarkStart w:id="119"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19"/>
    <w:bookmarkStart w:id="120"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0"/>
    <w:bookmarkStart w:id="122"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1">
        <w:r>
          <w:rPr>
            <w:rStyle w:val="Hyperlink"/>
          </w:rPr>
          <w:t xml:space="preserve">10.7287/peerj.preprints.27522v1</w:t>
        </w:r>
      </w:hyperlink>
      <w:r>
        <w:t xml:space="preserve">.</w:t>
      </w:r>
    </w:p>
    <w:bookmarkEnd w:id="122"/>
    <w:bookmarkStart w:id="123"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3"/>
    <w:bookmarkStart w:id="124"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4"/>
    <w:bookmarkStart w:id="125"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5"/>
    <w:bookmarkStart w:id="126"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26"/>
    <w:bookmarkStart w:id="128"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27">
        <w:r>
          <w:rPr>
            <w:rStyle w:val="Hyperlink"/>
          </w:rPr>
          <w:t xml:space="preserve">10.1101/489443</w:t>
        </w:r>
      </w:hyperlink>
      <w:r>
        <w:t xml:space="preserve">.</w:t>
      </w:r>
    </w:p>
    <w:bookmarkEnd w:id="128"/>
    <w:bookmarkStart w:id="129"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29"/>
    <w:bookmarkStart w:id="130"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0"/>
    <w:bookmarkStart w:id="132"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1">
        <w:r>
          <w:rPr>
            <w:rStyle w:val="Hyperlink"/>
          </w:rPr>
          <w:t xml:space="preserve">10.1093/gigascience/giy069</w:t>
        </w:r>
      </w:hyperlink>
      <w:r>
        <w:t xml:space="preserve">.</w:t>
      </w:r>
    </w:p>
    <w:bookmarkEnd w:id="132"/>
    <w:bookmarkStart w:id="133" w:name="ref-DET3tBYj"/>
    <w:p>
      <w:pPr>
        <w:pStyle w:val="Bibliography"/>
      </w:pPr>
      <w:r>
        <w:t xml:space="preserve">33.</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3"/>
    <w:bookmarkStart w:id="134" w:name="ref-1Af4oXwEX"/>
    <w:p>
      <w:pPr>
        <w:pStyle w:val="Bibliography"/>
      </w:pPr>
      <w:r>
        <w:t xml:space="preserve">34.</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34"/>
    <w:bookmarkStart w:id="135" w:name="ref-LxGqo7iq"/>
    <w:p>
      <w:pPr>
        <w:pStyle w:val="Bibliography"/>
      </w:pPr>
      <w:r>
        <w:t xml:space="preserve">35.</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35"/>
    <w:bookmarkStart w:id="137" w:name="ref-x7HhCKyS"/>
    <w:p>
      <w:pPr>
        <w:pStyle w:val="Bibliography"/>
      </w:pPr>
      <w:r>
        <w:t xml:space="preserve">36.</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36">
        <w:r>
          <w:rPr>
            <w:rStyle w:val="Hyperlink"/>
          </w:rPr>
          <w:t xml:space="preserve">10.3389/fmicb.2016.00173</w:t>
        </w:r>
      </w:hyperlink>
      <w:r>
        <w:t xml:space="preserve">.</w:t>
      </w:r>
    </w:p>
    <w:bookmarkEnd w:id="137"/>
    <w:bookmarkStart w:id="138" w:name="ref-17U91060Y"/>
    <w:p>
      <w:pPr>
        <w:pStyle w:val="Bibliography"/>
      </w:pPr>
      <w:r>
        <w:t xml:space="preserve">37.</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38"/>
    <w:bookmarkStart w:id="139" w:name="ref-AVvpww8F"/>
    <w:p>
      <w:pPr>
        <w:pStyle w:val="Bibliography"/>
      </w:pPr>
      <w:r>
        <w:t xml:space="preserve">38.</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39"/>
    <w:bookmarkStart w:id="140" w:name="ref-M1pdcdMy"/>
    <w:p>
      <w:pPr>
        <w:pStyle w:val="Bibliography"/>
      </w:pPr>
      <w:r>
        <w:t xml:space="preserve">39.</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0"/>
    <w:bookmarkStart w:id="141" w:name="ref-4eEyIkDg"/>
    <w:p>
      <w:pPr>
        <w:pStyle w:val="Bibliography"/>
      </w:pPr>
      <w:r>
        <w:t xml:space="preserve">40.</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1"/>
    <w:bookmarkStart w:id="142" w:name="ref-5g9Xc4ot"/>
    <w:p>
      <w:pPr>
        <w:pStyle w:val="Bibliography"/>
      </w:pPr>
      <w:r>
        <w:t xml:space="preserve">41.</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2"/>
    <w:bookmarkStart w:id="144" w:name="ref-qtpTcNWp"/>
    <w:p>
      <w:pPr>
        <w:pStyle w:val="Bibliography"/>
      </w:pPr>
      <w:r>
        <w:t xml:space="preserve">42.</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3">
        <w:r>
          <w:rPr>
            <w:rStyle w:val="Hyperlink"/>
          </w:rPr>
          <w:t xml:space="preserve">10.1038/s41559-016-0010</w:t>
        </w:r>
      </w:hyperlink>
      <w:r>
        <w:t xml:space="preserve">.</w:t>
      </w:r>
    </w:p>
    <w:bookmarkEnd w:id="144"/>
    <w:bookmarkStart w:id="145" w:name="ref-Z1irb7eF"/>
    <w:p>
      <w:pPr>
        <w:pStyle w:val="Bibliography"/>
      </w:pPr>
      <w:r>
        <w:t xml:space="preserve">43.</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45"/>
    <w:bookmarkStart w:id="146" w:name="ref-QK9dmRUA"/>
    <w:p>
      <w:pPr>
        <w:pStyle w:val="Bibliography"/>
      </w:pPr>
      <w:r>
        <w:t xml:space="preserve">44.</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46"/>
    <w:bookmarkStart w:id="147" w:name="ref-ps1aOiRU"/>
    <w:p>
      <w:pPr>
        <w:pStyle w:val="Bibliography"/>
      </w:pPr>
      <w:r>
        <w:t xml:space="preserve">45.</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47"/>
    <w:bookmarkStart w:id="148" w:name="ref-X9j9vETu"/>
    <w:p>
      <w:pPr>
        <w:pStyle w:val="Bibliography"/>
      </w:pPr>
      <w:r>
        <w:t xml:space="preserve">46.</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48"/>
    <w:bookmarkStart w:id="149" w:name="ref-lsbnKJf8"/>
    <w:p>
      <w:pPr>
        <w:pStyle w:val="Bibliography"/>
      </w:pPr>
      <w:r>
        <w:t xml:space="preserve">47.</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49"/>
    <w:bookmarkStart w:id="150" w:name="ref-znONJtTo"/>
    <w:p>
      <w:pPr>
        <w:pStyle w:val="Bibliography"/>
      </w:pPr>
      <w:r>
        <w:t xml:space="preserve">48.</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50"/>
    <w:bookmarkStart w:id="152" w:name="ref-1CBlSILo4"/>
    <w:p>
      <w:pPr>
        <w:pStyle w:val="Bibliography"/>
      </w:pPr>
      <w:r>
        <w:t xml:space="preserve">49.</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51">
        <w:r>
          <w:rPr>
            <w:rStyle w:val="Hyperlink"/>
          </w:rPr>
          <w:t xml:space="preserve">https://github.com/najoshi/sickle</w:t>
        </w:r>
      </w:hyperlink>
      <w:r>
        <w:t xml:space="preserve"> </w:t>
      </w:r>
      <w:r>
        <w:t xml:space="preserve">(2011).</w:t>
      </w:r>
    </w:p>
    <w:bookmarkEnd w:id="152"/>
    <w:bookmarkStart w:id="153" w:name="ref-TeRvtMCl"/>
    <w:p>
      <w:pPr>
        <w:pStyle w:val="Bibliography"/>
      </w:pPr>
      <w:r>
        <w:t xml:space="preserve">50.</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53"/>
    <w:bookmarkStart w:id="154" w:name="ref-nEsJGUWa"/>
    <w:p>
      <w:pPr>
        <w:pStyle w:val="Bibliography"/>
      </w:pPr>
      <w:r>
        <w:t xml:space="preserve">51.</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54"/>
    <w:bookmarkStart w:id="155" w:name="ref-S53q1T30"/>
    <w:p>
      <w:pPr>
        <w:pStyle w:val="Bibliography"/>
      </w:pPr>
      <w:r>
        <w:t xml:space="preserve">52.</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55"/>
    <w:bookmarkStart w:id="156" w:name="ref-L3vmZEmK"/>
    <w:p>
      <w:pPr>
        <w:pStyle w:val="Bibliography"/>
      </w:pPr>
      <w:r>
        <w:t xml:space="preserve">53.</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56"/>
    <w:bookmarkStart w:id="157" w:name="ref-GCsU1nyf"/>
    <w:p>
      <w:pPr>
        <w:pStyle w:val="Bibliography"/>
      </w:pPr>
      <w:r>
        <w:t xml:space="preserve">54.</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57"/>
    <w:bookmarkStart w:id="158" w:name="ref-JOWSuu8G"/>
    <w:p>
      <w:pPr>
        <w:pStyle w:val="Bibliography"/>
      </w:pPr>
      <w:r>
        <w:t xml:space="preserve">55.</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58"/>
    <w:bookmarkStart w:id="159" w:name="ref-P9j0gC8x"/>
    <w:p>
      <w:pPr>
        <w:pStyle w:val="Bibliography"/>
      </w:pPr>
      <w:r>
        <w:t xml:space="preserve">56.</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59"/>
    <w:bookmarkStart w:id="160" w:name="ref-5F7ii9Ji"/>
    <w:p>
      <w:pPr>
        <w:pStyle w:val="Bibliography"/>
      </w:pPr>
      <w:r>
        <w:t xml:space="preserve">57.</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60"/>
    <w:bookmarkStart w:id="162" w:name="ref-LeLYF4iC"/>
    <w:p>
      <w:pPr>
        <w:pStyle w:val="Bibliography"/>
      </w:pPr>
      <w:r>
        <w:t xml:space="preserve">58.</w:t>
      </w:r>
      <w:r>
        <w:t xml:space="preserve"> </w:t>
      </w:r>
      <w:r>
        <w:rPr>
          <w:b/>
        </w:rPr>
        <w:t xml:space="preserve">Waskom M, Botvinnik O, Ostblom J, Lukauskas S, Hobson P</w:t>
      </w:r>
      <w:r>
        <w:rPr>
          <w:b/>
        </w:rPr>
        <w:t xml:space="preserve"> </w:t>
      </w:r>
      <w:r>
        <w:rPr>
          <w:i/>
          <w:b/>
        </w:rPr>
        <w:t xml:space="preserve">et al.</w:t>
      </w:r>
      <w:r>
        <w:t xml:space="preserve"> </w:t>
      </w:r>
      <w:r>
        <w:t xml:space="preserve">mwaskom/seaborn: v0.10.0 (January 2020). Epub ahead of print 24 January 2020. DOI:</w:t>
      </w:r>
      <w:r>
        <w:t xml:space="preserve"> </w:t>
      </w:r>
      <w:hyperlink r:id="rId161">
        <w:r>
          <w:rPr>
            <w:rStyle w:val="Hyperlink"/>
          </w:rPr>
          <w:t xml:space="preserve">10.5281/zenodo.3629446</w:t>
        </w:r>
      </w:hyperlink>
      <w:r>
        <w:t xml:space="preserve">.</w:t>
      </w:r>
    </w:p>
    <w:bookmarkEnd w:id="162"/>
    <w:bookmarkStart w:id="164" w:name="ref-lX665mdh"/>
    <w:p>
      <w:pPr>
        <w:pStyle w:val="Bibliography"/>
      </w:pPr>
      <w:r>
        <w:t xml:space="preserve">59.</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63">
        <w:r>
          <w:rPr>
            <w:rStyle w:val="Hyperlink"/>
          </w:rPr>
          <w:t xml:space="preserve">10.1186/1471-2105-11-119</w:t>
        </w:r>
      </w:hyperlink>
      <w:r>
        <w:t xml:space="preserve">.</w:t>
      </w:r>
    </w:p>
    <w:bookmarkEnd w:id="164"/>
    <w:bookmarkStart w:id="166" w:name="ref-nvbyXyPe"/>
    <w:p>
      <w:pPr>
        <w:pStyle w:val="Bibliography"/>
      </w:pPr>
      <w:r>
        <w:t xml:space="preserve">60.</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65">
        <w:r>
          <w:rPr>
            <w:rStyle w:val="Hyperlink"/>
          </w:rPr>
          <w:t xml:space="preserve">10.1093/nar/gkz935</w:t>
        </w:r>
      </w:hyperlink>
      <w:r>
        <w:t xml:space="preserve">.</w:t>
      </w:r>
    </w:p>
    <w:bookmarkEnd w:id="166"/>
    <w:bookmarkStart w:id="167" w:name="ref-pYB1SP5"/>
    <w:p>
      <w:pPr>
        <w:pStyle w:val="Bibliography"/>
      </w:pPr>
      <w:r>
        <w:t xml:space="preserve">61.</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67"/>
    <w:bookmarkStart w:id="168" w:name="ref-19bHWbO47"/>
    <w:p>
      <w:pPr>
        <w:pStyle w:val="Bibliography"/>
      </w:pPr>
      <w:r>
        <w:t xml:space="preserve">62.</w:t>
      </w:r>
      <w:r>
        <w:t xml:space="preserve"> </w:t>
      </w:r>
      <w:r>
        <w:rPr>
          <w:b/>
        </w:rPr>
        <w:t xml:space="preserve">Yu NY, Wagner JR, Laird MR, Melli G, Rey S</w:t>
      </w:r>
      <w:r>
        <w:rPr>
          <w:b/>
        </w:rPr>
        <w:t xml:space="preserve"> </w:t>
      </w:r>
      <w:r>
        <w:rPr>
          <w:i/>
          <w:b/>
        </w:rPr>
        <w:t xml:space="preserve">et al.</w:t>
      </w:r>
      <w:r>
        <w:t xml:space="preserve"> </w:t>
      </w:r>
      <w:r>
        <w:t xml:space="preserve">PSORTb 3.0: improved protein subcellular localization prediction with refined localization subcategories and predictive capabilities for all prokaryotes.</w:t>
      </w:r>
      <w:r>
        <w:t xml:space="preserve"> </w:t>
      </w:r>
      <w:r>
        <w:rPr>
          <w:i/>
        </w:rPr>
        <w:t xml:space="preserve">Bioinformatics</w:t>
      </w:r>
      <w:r>
        <w:t xml:space="preserve"> </w:t>
      </w:r>
      <w:r>
        <w:t xml:space="preserve">2010;26:1608–1615.</w:t>
      </w:r>
    </w:p>
    <w:bookmarkEnd w:id="168"/>
    <w:bookmarkStart w:id="170" w:name="ref-12zFifp5x"/>
    <w:p>
      <w:pPr>
        <w:pStyle w:val="Bibliography"/>
      </w:pPr>
      <w:r>
        <w:t xml:space="preserve">63.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9">
        <w:r>
          <w:rPr>
            <w:rStyle w:val="Hyperlink"/>
          </w:rPr>
          <w:t xml:space="preserve">10.1099/mgen.0.000128</w:t>
        </w:r>
      </w:hyperlink>
      <w:r>
        <w:t xml:space="preserve">.</w:t>
      </w:r>
    </w:p>
    <w:bookmarkEnd w:id="170"/>
    <w:bookmarkStart w:id="172" w:name="ref-5bpLJeyh"/>
    <w:p>
      <w:pPr>
        <w:pStyle w:val="Bibliography"/>
      </w:pPr>
      <w:r>
        <w:t xml:space="preserve">64.</w:t>
      </w:r>
      <w:r>
        <w:t xml:space="preserve"> </w:t>
      </w:r>
      <w:r>
        <w:rPr>
          <w:b/>
        </w:rPr>
        <w:t xml:space="preserve">Pellow D, Probst M, Furman O, Zorea A,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4 April 2020. DOI:</w:t>
      </w:r>
      <w:r>
        <w:t xml:space="preserve"> </w:t>
      </w:r>
      <w:hyperlink r:id="rId171">
        <w:r>
          <w:rPr>
            <w:rStyle w:val="Hyperlink"/>
          </w:rPr>
          <w:t xml:space="preserve">10.1101/2020.01.12.903252</w:t>
        </w:r>
      </w:hyperlink>
      <w:r>
        <w:t xml:space="preserve">.</w:t>
      </w:r>
    </w:p>
    <w:bookmarkEnd w:id="172"/>
    <w:bookmarkStart w:id="174" w:name="ref-GW6Ed5Sw"/>
    <w:p>
      <w:pPr>
        <w:pStyle w:val="Bibliography"/>
      </w:pPr>
      <w:r>
        <w:t xml:space="preserve">65.</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73">
        <w:r>
          <w:rPr>
            <w:rStyle w:val="Hyperlink"/>
          </w:rPr>
          <w:t xml:space="preserve">10.1101/2020.04.08.032540</w:t>
        </w:r>
      </w:hyperlink>
      <w:r>
        <w:t xml:space="preserve">.</w:t>
      </w:r>
    </w:p>
    <w:bookmarkEnd w:id="174"/>
    <w:bookmarkStart w:id="176" w:name="ref-8IMKGJe4"/>
    <w:p>
      <w:pPr>
        <w:pStyle w:val="Bibliography"/>
      </w:pPr>
      <w:r>
        <w:t xml:space="preserve">66.</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75">
        <w:r>
          <w:rPr>
            <w:rStyle w:val="Hyperlink"/>
          </w:rPr>
          <w:t xml:space="preserve">10.1186/s40168-019-0737-z</w:t>
        </w:r>
      </w:hyperlink>
      <w:r>
        <w:t xml:space="preserve">.</w:t>
      </w:r>
    </w:p>
    <w:bookmarkEnd w:id="176"/>
    <w:bookmarkStart w:id="178" w:name="ref-cMfI5dpb"/>
    <w:p>
      <w:pPr>
        <w:pStyle w:val="Bibliography"/>
      </w:pPr>
      <w:r>
        <w:t xml:space="preserve">67.</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77">
        <w:r>
          <w:rPr>
            <w:rStyle w:val="Hyperlink"/>
          </w:rPr>
          <w:t xml:space="preserve">10.1099/mgen.0.000293</w:t>
        </w:r>
      </w:hyperlink>
      <w:r>
        <w:t xml:space="preserve">.</w:t>
      </w:r>
    </w:p>
    <w:bookmarkEnd w:id="178"/>
    <w:bookmarkStart w:id="179" w:name="ref-YRviGlC7"/>
    <w:p>
      <w:pPr>
        <w:pStyle w:val="Bibliography"/>
      </w:pPr>
      <w:r>
        <w:t xml:space="preserve">68.</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79"/>
    <w:bookmarkStart w:id="181" w:name="ref-FONzPbL9"/>
    <w:p>
      <w:pPr>
        <w:pStyle w:val="Bibliography"/>
      </w:pPr>
      <w:r>
        <w:t xml:space="preserve">69.</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Epub ahead of print 2 April 2020. DOI:</w:t>
      </w:r>
      <w:r>
        <w:t xml:space="preserve"> </w:t>
      </w:r>
      <w:hyperlink r:id="rId180">
        <w:r>
          <w:rPr>
            <w:rStyle w:val="Hyperlink"/>
          </w:rPr>
          <w:t xml:space="preserve">10.1111/1462-2920.14989</w:t>
        </w:r>
      </w:hyperlink>
      <w:r>
        <w:t xml:space="preserve">.</w:t>
      </w:r>
    </w:p>
    <w:bookmarkEnd w:id="181"/>
    <w:bookmarkStart w:id="183" w:name="ref-fQs94ZPa"/>
    <w:p>
      <w:pPr>
        <w:pStyle w:val="Bibliography"/>
      </w:pPr>
      <w:r>
        <w:t xml:space="preserve">70.</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82">
        <w:r>
          <w:rPr>
            <w:rStyle w:val="Hyperlink"/>
          </w:rPr>
          <w:t xml:space="preserve">10.3389/fmicb.2017.02036</w:t>
        </w:r>
      </w:hyperlink>
      <w:r>
        <w:t xml:space="preserve">.</w:t>
      </w:r>
    </w:p>
    <w:bookmarkEnd w:id="183"/>
    <w:bookmarkStart w:id="185" w:name="ref-WJT5of5h"/>
    <w:p>
      <w:pPr>
        <w:pStyle w:val="Bibliography"/>
      </w:pPr>
      <w:r>
        <w:t xml:space="preserve">71.</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84">
        <w:r>
          <w:rPr>
            <w:rStyle w:val="Hyperlink"/>
          </w:rPr>
          <w:t xml:space="preserve">10.1128/aem.02577-16</w:t>
        </w:r>
      </w:hyperlink>
      <w:r>
        <w:t xml:space="preserve">.</w:t>
      </w:r>
    </w:p>
    <w:bookmarkEnd w:id="185"/>
    <w:bookmarkStart w:id="186" w:name="ref-1EZyZrHhJ"/>
    <w:p>
      <w:pPr>
        <w:pStyle w:val="Bibliography"/>
      </w:pPr>
      <w:r>
        <w:t xml:space="preserve">72.</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86"/>
    <w:bookmarkStart w:id="188" w:name="ref-MdKqt622"/>
    <w:p>
      <w:pPr>
        <w:pStyle w:val="Bibliography"/>
      </w:pPr>
      <w:r>
        <w:t xml:space="preserve">73.</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87">
        <w:r>
          <w:rPr>
            <w:rStyle w:val="Hyperlink"/>
          </w:rPr>
          <w:t xml:space="preserve">10.1186/s12879-017-2727-8</w:t>
        </w:r>
      </w:hyperlink>
      <w:r>
        <w:t xml:space="preserve">.</w:t>
      </w:r>
    </w:p>
    <w:bookmarkEnd w:id="188"/>
    <w:bookmarkStart w:id="189" w:name="ref-zxPEyXfK"/>
    <w:p>
      <w:pPr>
        <w:pStyle w:val="Bibliography"/>
      </w:pPr>
      <w:r>
        <w:t xml:space="preserve">74.</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89"/>
    <w:bookmarkStart w:id="191" w:name="ref-mUmGRb3J"/>
    <w:p>
      <w:pPr>
        <w:pStyle w:val="Bibliography"/>
      </w:pPr>
      <w:r>
        <w:t xml:space="preserve">75.</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190">
        <w:r>
          <w:rPr>
            <w:rStyle w:val="Hyperlink"/>
          </w:rPr>
          <w:t xml:space="preserve">10.1038/s41598-017-07790-9</w:t>
        </w:r>
      </w:hyperlink>
      <w:r>
        <w:t xml:space="preserve">.</w:t>
      </w:r>
    </w:p>
    <w:bookmarkEnd w:id="191"/>
    <w:bookmarkStart w:id="192" w:name="ref-IkpDSlIL"/>
    <w:p>
      <w:pPr>
        <w:pStyle w:val="Bibliography"/>
      </w:pPr>
      <w:r>
        <w:t xml:space="preserve">76.</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192"/>
    <w:bookmarkStart w:id="193" w:name="ref-WU7NeQcW"/>
    <w:p>
      <w:pPr>
        <w:pStyle w:val="Bibliography"/>
      </w:pPr>
      <w:r>
        <w:t xml:space="preserve">77.</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193"/>
    <w:bookmarkStart w:id="194" w:name="ref-3KTnNd66"/>
    <w:p>
      <w:pPr>
        <w:pStyle w:val="Bibliography"/>
      </w:pPr>
      <w:r>
        <w:t xml:space="preserve">78.</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194"/>
    <w:bookmarkStart w:id="196" w:name="ref-69R3Dd1j"/>
    <w:p>
      <w:pPr>
        <w:pStyle w:val="Bibliography"/>
      </w:pPr>
      <w:r>
        <w:t xml:space="preserve">79.</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195">
        <w:r>
          <w:rPr>
            <w:rStyle w:val="Hyperlink"/>
          </w:rPr>
          <w:t xml:space="preserve">10.1038/s41598-017-12481-6</w:t>
        </w:r>
      </w:hyperlink>
      <w:r>
        <w:t xml:space="preserve">.</w:t>
      </w:r>
    </w:p>
    <w:bookmarkEnd w:id="196"/>
    <w:bookmarkStart w:id="198" w:name="ref-18qKF2jNL"/>
    <w:p>
      <w:pPr>
        <w:pStyle w:val="Bibliography"/>
      </w:pPr>
      <w:r>
        <w:t xml:space="preserve">80.</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197">
        <w:r>
          <w:rPr>
            <w:rStyle w:val="Hyperlink"/>
          </w:rPr>
          <w:t xml:space="preserve">10.1186/s40168-019-0633-6</w:t>
        </w:r>
      </w:hyperlink>
      <w:r>
        <w:t xml:space="preserve">.</w:t>
      </w:r>
    </w:p>
    <w:bookmarkEnd w:id="198"/>
    <w:bookmarkStart w:id="200" w:name="ref-4jGCH8lH"/>
    <w:p>
      <w:pPr>
        <w:pStyle w:val="Bibliography"/>
      </w:pPr>
      <w:r>
        <w:t xml:space="preserve">81.</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199">
        <w:r>
          <w:rPr>
            <w:rStyle w:val="Hyperlink"/>
          </w:rPr>
          <w:t xml:space="preserve">10.1128/msystems.00062-16</w:t>
        </w:r>
      </w:hyperlink>
      <w:r>
        <w:t xml:space="preserve">.</w:t>
      </w:r>
    </w:p>
    <w:bookmarkEnd w:id="200"/>
    <w:bookmarkStart w:id="202" w:name="ref-1FgkF8i4W"/>
    <w:p>
      <w:pPr>
        <w:pStyle w:val="Bibliography"/>
      </w:pPr>
      <w:r>
        <w:t xml:space="preserve">82.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01">
        <w:r>
          <w:rPr>
            <w:rStyle w:val="Hyperlink"/>
          </w:rPr>
          <w:t xml:space="preserve">10.1099/mgen.0.000131</w:t>
        </w:r>
      </w:hyperlink>
      <w:r>
        <w:t xml:space="preserve">.</w:t>
      </w:r>
    </w:p>
    <w:bookmarkEnd w:id="202"/>
    <w:bookmarkEnd w:id="203"/>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143" Target="https://doi.org/10.1038/s41559-016-0010" TargetMode="External" /><Relationship Type="http://schemas.openxmlformats.org/officeDocument/2006/relationships/hyperlink" Id="rId190" Target="https://doi.org/10.1038/s41598-017-07790-9" TargetMode="External" /><Relationship Type="http://schemas.openxmlformats.org/officeDocument/2006/relationships/hyperlink" Id="rId195" Target="https://doi.org/10.1038/s41598-017-12481-6" TargetMode="External" /><Relationship Type="http://schemas.openxmlformats.org/officeDocument/2006/relationships/hyperlink" Id="rId131" Target="https://doi.org/10.1093/gigascience/giy069" TargetMode="External" /><Relationship Type="http://schemas.openxmlformats.org/officeDocument/2006/relationships/hyperlink" Id="rId103" Target="https://doi.org/10.1093/gigascience/giz043" TargetMode="External" /><Relationship Type="http://schemas.openxmlformats.org/officeDocument/2006/relationships/hyperlink" Id="rId165" Target="https://doi.org/10.1093/nar/gkz935" TargetMode="External" /><Relationship Type="http://schemas.openxmlformats.org/officeDocument/2006/relationships/hyperlink" Id="rId169" Target="https://doi.org/10.1099/mgen.0.000128" TargetMode="External" /><Relationship Type="http://schemas.openxmlformats.org/officeDocument/2006/relationships/hyperlink" Id="rId201" Target="https://doi.org/10.1099/mgen.0.000131" TargetMode="External" /><Relationship Type="http://schemas.openxmlformats.org/officeDocument/2006/relationships/hyperlink" Id="rId177" Target="https://doi.org/10.1099/mgen.0.000293" TargetMode="External" /><Relationship Type="http://schemas.openxmlformats.org/officeDocument/2006/relationships/hyperlink" Id="rId171" Target="https://doi.org/10.1101/2020.01.12.903252" TargetMode="External" /><Relationship Type="http://schemas.openxmlformats.org/officeDocument/2006/relationships/hyperlink" Id="rId173" Target="https://doi.org/10.1101/2020.04.08.032540" TargetMode="External" /><Relationship Type="http://schemas.openxmlformats.org/officeDocument/2006/relationships/hyperlink" Id="rId127" Target="https://doi.org/10.1101/489443" TargetMode="External" /><Relationship Type="http://schemas.openxmlformats.org/officeDocument/2006/relationships/hyperlink" Id="rId180" Target="https://doi.org/10.1111/1462-2920.14989" TargetMode="External" /><Relationship Type="http://schemas.openxmlformats.org/officeDocument/2006/relationships/hyperlink" Id="rId184" Target="https://doi.org/10.1128/aem.02577-16" TargetMode="External" /><Relationship Type="http://schemas.openxmlformats.org/officeDocument/2006/relationships/hyperlink" Id="rId199" Target="https://doi.org/10.1128/msystems.00062-16" TargetMode="External" /><Relationship Type="http://schemas.openxmlformats.org/officeDocument/2006/relationships/hyperlink" Id="rId163" Target="https://doi.org/10.1186/1471-2105-11-119" TargetMode="External" /><Relationship Type="http://schemas.openxmlformats.org/officeDocument/2006/relationships/hyperlink" Id="rId110" Target="https://doi.org/10.1186/s12864-015-1419-2" TargetMode="External" /><Relationship Type="http://schemas.openxmlformats.org/officeDocument/2006/relationships/hyperlink" Id="rId105" Target="https://doi.org/10.1186/s12866-019-1500-0" TargetMode="External" /><Relationship Type="http://schemas.openxmlformats.org/officeDocument/2006/relationships/hyperlink" Id="rId187" Target="https://doi.org/10.1186/s12879-017-2727-8" TargetMode="External" /><Relationship Type="http://schemas.openxmlformats.org/officeDocument/2006/relationships/hyperlink" Id="rId197" Target="https://doi.org/10.1186/s40168-019-0633-6" TargetMode="External" /><Relationship Type="http://schemas.openxmlformats.org/officeDocument/2006/relationships/hyperlink" Id="rId175" Target="https://doi.org/10.1186/s40168-019-0737-z" TargetMode="External" /><Relationship Type="http://schemas.openxmlformats.org/officeDocument/2006/relationships/hyperlink" Id="rId136" Target="https://doi.org/10.3389/fmicb.2016.00173" TargetMode="External" /><Relationship Type="http://schemas.openxmlformats.org/officeDocument/2006/relationships/hyperlink" Id="rId182" Target="https://doi.org/10.3389/fmicb.2017.02036" TargetMode="External" /><Relationship Type="http://schemas.openxmlformats.org/officeDocument/2006/relationships/hyperlink" Id="rId161" Target="https://doi.org/10.5281/zenodo.3629446" TargetMode="External" /><Relationship Type="http://schemas.openxmlformats.org/officeDocument/2006/relationships/hyperlink" Id="rId121" Target="https://doi.org/10.7287/peerj.preprints.27522v1" TargetMode="External" /><Relationship Type="http://schemas.openxmlformats.org/officeDocument/2006/relationships/hyperlink" Id="rId20" Target="https://fmaguire.github.io/mag_sim_paper/v/72dab212177c03949c7abfa4a82ab4d21551330f/"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72dab212177c03949c7abfa4a82ab4d21551330f" TargetMode="External" /><Relationship Type="http://schemas.openxmlformats.org/officeDocument/2006/relationships/hyperlink" Id="rId30" Target="https://github.com/imasianxd" TargetMode="External" /><Relationship Type="http://schemas.openxmlformats.org/officeDocument/2006/relationships/hyperlink" Id="rId151"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143" Target="https://doi.org/10.1038/s41559-016-0010" TargetMode="External" /><Relationship Type="http://schemas.openxmlformats.org/officeDocument/2006/relationships/hyperlink" Id="rId190" Target="https://doi.org/10.1038/s41598-017-07790-9" TargetMode="External" /><Relationship Type="http://schemas.openxmlformats.org/officeDocument/2006/relationships/hyperlink" Id="rId195" Target="https://doi.org/10.1038/s41598-017-12481-6" TargetMode="External" /><Relationship Type="http://schemas.openxmlformats.org/officeDocument/2006/relationships/hyperlink" Id="rId131" Target="https://doi.org/10.1093/gigascience/giy069" TargetMode="External" /><Relationship Type="http://schemas.openxmlformats.org/officeDocument/2006/relationships/hyperlink" Id="rId103" Target="https://doi.org/10.1093/gigascience/giz043" TargetMode="External" /><Relationship Type="http://schemas.openxmlformats.org/officeDocument/2006/relationships/hyperlink" Id="rId165" Target="https://doi.org/10.1093/nar/gkz935" TargetMode="External" /><Relationship Type="http://schemas.openxmlformats.org/officeDocument/2006/relationships/hyperlink" Id="rId169" Target="https://doi.org/10.1099/mgen.0.000128" TargetMode="External" /><Relationship Type="http://schemas.openxmlformats.org/officeDocument/2006/relationships/hyperlink" Id="rId201" Target="https://doi.org/10.1099/mgen.0.000131" TargetMode="External" /><Relationship Type="http://schemas.openxmlformats.org/officeDocument/2006/relationships/hyperlink" Id="rId177" Target="https://doi.org/10.1099/mgen.0.000293" TargetMode="External" /><Relationship Type="http://schemas.openxmlformats.org/officeDocument/2006/relationships/hyperlink" Id="rId171" Target="https://doi.org/10.1101/2020.01.12.903252" TargetMode="External" /><Relationship Type="http://schemas.openxmlformats.org/officeDocument/2006/relationships/hyperlink" Id="rId173" Target="https://doi.org/10.1101/2020.04.08.032540" TargetMode="External" /><Relationship Type="http://schemas.openxmlformats.org/officeDocument/2006/relationships/hyperlink" Id="rId127" Target="https://doi.org/10.1101/489443" TargetMode="External" /><Relationship Type="http://schemas.openxmlformats.org/officeDocument/2006/relationships/hyperlink" Id="rId180" Target="https://doi.org/10.1111/1462-2920.14989" TargetMode="External" /><Relationship Type="http://schemas.openxmlformats.org/officeDocument/2006/relationships/hyperlink" Id="rId184" Target="https://doi.org/10.1128/aem.02577-16" TargetMode="External" /><Relationship Type="http://schemas.openxmlformats.org/officeDocument/2006/relationships/hyperlink" Id="rId199" Target="https://doi.org/10.1128/msystems.00062-16" TargetMode="External" /><Relationship Type="http://schemas.openxmlformats.org/officeDocument/2006/relationships/hyperlink" Id="rId163" Target="https://doi.org/10.1186/1471-2105-11-119" TargetMode="External" /><Relationship Type="http://schemas.openxmlformats.org/officeDocument/2006/relationships/hyperlink" Id="rId110" Target="https://doi.org/10.1186/s12864-015-1419-2" TargetMode="External" /><Relationship Type="http://schemas.openxmlformats.org/officeDocument/2006/relationships/hyperlink" Id="rId105" Target="https://doi.org/10.1186/s12866-019-1500-0" TargetMode="External" /><Relationship Type="http://schemas.openxmlformats.org/officeDocument/2006/relationships/hyperlink" Id="rId187" Target="https://doi.org/10.1186/s12879-017-2727-8" TargetMode="External" /><Relationship Type="http://schemas.openxmlformats.org/officeDocument/2006/relationships/hyperlink" Id="rId197" Target="https://doi.org/10.1186/s40168-019-0633-6" TargetMode="External" /><Relationship Type="http://schemas.openxmlformats.org/officeDocument/2006/relationships/hyperlink" Id="rId175" Target="https://doi.org/10.1186/s40168-019-0737-z" TargetMode="External" /><Relationship Type="http://schemas.openxmlformats.org/officeDocument/2006/relationships/hyperlink" Id="rId136" Target="https://doi.org/10.3389/fmicb.2016.00173" TargetMode="External" /><Relationship Type="http://schemas.openxmlformats.org/officeDocument/2006/relationships/hyperlink" Id="rId182" Target="https://doi.org/10.3389/fmicb.2017.02036" TargetMode="External" /><Relationship Type="http://schemas.openxmlformats.org/officeDocument/2006/relationships/hyperlink" Id="rId161" Target="https://doi.org/10.5281/zenodo.3629446" TargetMode="External" /><Relationship Type="http://schemas.openxmlformats.org/officeDocument/2006/relationships/hyperlink" Id="rId121" Target="https://doi.org/10.7287/peerj.preprints.27522v1" TargetMode="External" /><Relationship Type="http://schemas.openxmlformats.org/officeDocument/2006/relationships/hyperlink" Id="rId20" Target="https://fmaguire.github.io/mag_sim_paper/v/72dab212177c03949c7abfa4a82ab4d21551330f/"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72dab212177c03949c7abfa4a82ab4d21551330f" TargetMode="External" /><Relationship Type="http://schemas.openxmlformats.org/officeDocument/2006/relationships/hyperlink" Id="rId30" Target="https://github.com/imasianxd" TargetMode="External" /><Relationship Type="http://schemas.openxmlformats.org/officeDocument/2006/relationships/hyperlink" Id="rId151"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2020-05-22T01:10:46Z</dcterms:created>
  <dcterms:modified xsi:type="dcterms:W3CDTF">2020-05-22T01:10:46Z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2020-05-22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